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C91742" w:rsidP="00984AFE">
      <w:r>
        <w:rPr>
          <w:noProof/>
        </w:rPr>
        <w:drawing>
          <wp:anchor distT="0" distB="0" distL="114300" distR="114300" simplePos="0" relativeHeight="251660800" behindDoc="0" locked="0" layoutInCell="1" allowOverlap="1" wp14:anchorId="7E381A99" wp14:editId="4961488E">
            <wp:simplePos x="0" y="0"/>
            <wp:positionH relativeFrom="margin">
              <wp:posOffset>-49530</wp:posOffset>
            </wp:positionH>
            <wp:positionV relativeFrom="margin">
              <wp:posOffset>-443230</wp:posOffset>
            </wp:positionV>
            <wp:extent cx="3028950" cy="962025"/>
            <wp:effectExtent l="0" t="0" r="0" b="9525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DDD">
        <w:rPr>
          <w:noProof/>
        </w:rPr>
        <w:drawing>
          <wp:anchor distT="0" distB="0" distL="114300" distR="114300" simplePos="0" relativeHeight="251658752" behindDoc="0" locked="0" layoutInCell="1" allowOverlap="1" wp14:anchorId="119AB7B0" wp14:editId="77859E38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D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C3DD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B66D0A" w:rsidRDefault="003C55EA" w:rsidP="00587249">
      <w:pPr>
        <w:pBdr>
          <w:bottom w:val="single" w:sz="12" w:space="1" w:color="auto"/>
        </w:pBdr>
        <w:jc w:val="center"/>
        <w:rPr>
          <w:rFonts w:cs="Arial"/>
          <w:b/>
        </w:rPr>
      </w:pPr>
      <w:r>
        <w:rPr>
          <w:rFonts w:cs="Arial"/>
          <w:b/>
        </w:rPr>
        <w:t xml:space="preserve">č. </w:t>
      </w:r>
      <w:r w:rsidR="00A52D60">
        <w:rPr>
          <w:rFonts w:cs="Arial"/>
          <w:b/>
        </w:rPr>
        <w:t>67</w:t>
      </w:r>
      <w:r>
        <w:rPr>
          <w:rFonts w:cs="Arial"/>
          <w:b/>
        </w:rPr>
        <w:t xml:space="preserve">/2017 </w:t>
      </w:r>
      <w:r w:rsidR="00587249" w:rsidRPr="00B66D0A">
        <w:rPr>
          <w:rFonts w:cs="Arial"/>
          <w:b/>
        </w:rPr>
        <w:t>„</w:t>
      </w:r>
      <w:r w:rsidR="009F2B2B" w:rsidRPr="00D10AEE">
        <w:rPr>
          <w:rFonts w:cs="Arial"/>
          <w:b/>
          <w:sz w:val="24"/>
          <w:szCs w:val="24"/>
        </w:rPr>
        <w:t>Inventarizační bryologický průzkum KRNAP</w:t>
      </w:r>
      <w:r w:rsidR="00587249" w:rsidRPr="00B66D0A">
        <w:rPr>
          <w:rFonts w:cs="Arial"/>
          <w:b/>
        </w:rPr>
        <w:t>“,</w:t>
      </w:r>
    </w:p>
    <w:p w:rsidR="00602F52" w:rsidRDefault="00602F52" w:rsidP="00587249">
      <w:pPr>
        <w:jc w:val="center"/>
        <w:rPr>
          <w:rFonts w:cs="Arial"/>
          <w:b/>
        </w:rPr>
      </w:pPr>
    </w:p>
    <w:p w:rsidR="00587249" w:rsidRPr="00F068D4" w:rsidRDefault="00116AB7" w:rsidP="00116AB7">
      <w:pPr>
        <w:spacing w:line="360" w:lineRule="auto"/>
        <w:ind w:left="142"/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b/>
          <w:color w:val="000000"/>
          <w:sz w:val="20"/>
          <w:szCs w:val="20"/>
        </w:rPr>
        <w:tab/>
      </w:r>
      <w:r w:rsidR="00587249"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="00587249"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116AB7">
      <w:pPr>
        <w:autoSpaceDE w:val="0"/>
        <w:autoSpaceDN w:val="0"/>
        <w:adjustRightInd w:val="0"/>
        <w:spacing w:line="360" w:lineRule="auto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820"/>
        <w:gridCol w:w="1701"/>
        <w:gridCol w:w="1134"/>
        <w:gridCol w:w="1701"/>
      </w:tblGrid>
      <w:tr w:rsidR="00116AB7" w:rsidRPr="001F0912" w:rsidTr="00602F52">
        <w:trPr>
          <w:trHeight w:val="23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16AB7" w:rsidRDefault="00116AB7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>. č.</w:t>
            </w:r>
          </w:p>
        </w:tc>
        <w:tc>
          <w:tcPr>
            <w:tcW w:w="482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AB7" w:rsidRPr="001F0912" w:rsidRDefault="00116AB7" w:rsidP="00116A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Části zakázky</w:t>
            </w:r>
          </w:p>
          <w:p w:rsidR="00116AB7" w:rsidRPr="001F0912" w:rsidRDefault="00116AB7" w:rsidP="001F091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16AB7" w:rsidRPr="001F0912" w:rsidRDefault="00116AB7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0912">
              <w:rPr>
                <w:rFonts w:cs="Arial"/>
                <w:b/>
                <w:sz w:val="20"/>
                <w:szCs w:val="20"/>
              </w:rPr>
              <w:t xml:space="preserve">Nabídková </w:t>
            </w:r>
            <w:r w:rsidR="00B75474">
              <w:rPr>
                <w:rFonts w:cs="Arial"/>
                <w:b/>
                <w:sz w:val="20"/>
                <w:szCs w:val="20"/>
              </w:rPr>
              <w:t xml:space="preserve">celková </w:t>
            </w:r>
            <w:r w:rsidRPr="001F0912">
              <w:rPr>
                <w:rFonts w:cs="Arial"/>
                <w:b/>
                <w:sz w:val="20"/>
                <w:szCs w:val="20"/>
              </w:rPr>
              <w:t>cena</w:t>
            </w:r>
            <w:r w:rsidRPr="001F0912">
              <w:rPr>
                <w:rFonts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C91742" w:rsidRPr="001F0912" w:rsidTr="00C91742">
        <w:trPr>
          <w:trHeight w:val="230"/>
          <w:jc w:val="center"/>
        </w:trPr>
        <w:tc>
          <w:tcPr>
            <w:tcW w:w="7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16AB7" w:rsidRPr="001F0912" w:rsidRDefault="00116AB7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16AB7" w:rsidRPr="001F0912" w:rsidRDefault="00116AB7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16AB7" w:rsidRPr="00602F52" w:rsidRDefault="00602F52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</w:t>
            </w:r>
            <w:r w:rsidR="00116AB7" w:rsidRPr="00602F52">
              <w:rPr>
                <w:rFonts w:cs="Arial"/>
                <w:b/>
                <w:sz w:val="20"/>
                <w:szCs w:val="20"/>
              </w:rPr>
              <w:t>ena bez DPH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:rsidR="00116AB7" w:rsidRPr="00602F52" w:rsidRDefault="00116AB7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02F52">
              <w:rPr>
                <w:rFonts w:cs="Arial"/>
                <w:b/>
                <w:sz w:val="20"/>
                <w:szCs w:val="20"/>
              </w:rPr>
              <w:t>DPH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AB7" w:rsidRPr="00602F52" w:rsidRDefault="00602F52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</w:t>
            </w:r>
            <w:r w:rsidR="00116AB7" w:rsidRPr="00602F52">
              <w:rPr>
                <w:rFonts w:cs="Arial"/>
                <w:b/>
                <w:sz w:val="20"/>
                <w:szCs w:val="20"/>
              </w:rPr>
              <w:t>ena s DPH</w:t>
            </w:r>
          </w:p>
        </w:tc>
      </w:tr>
      <w:tr w:rsidR="00602F52" w:rsidRPr="001F0912" w:rsidTr="00C91742">
        <w:trPr>
          <w:trHeight w:val="253"/>
          <w:jc w:val="center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116AB7" w:rsidRPr="00116AB7" w:rsidRDefault="00116AB7" w:rsidP="00602F52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shd w:val="clear" w:color="auto" w:fill="auto"/>
          </w:tcPr>
          <w:p w:rsidR="00116AB7" w:rsidRPr="00116AB7" w:rsidRDefault="00116AB7" w:rsidP="00602F52">
            <w:pPr>
              <w:spacing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Záp</w:t>
            </w:r>
            <w:r w:rsidR="00602F52">
              <w:rPr>
                <w:rFonts w:cs="Arial"/>
                <w:sz w:val="20"/>
                <w:szCs w:val="20"/>
              </w:rPr>
              <w:t>adní</w:t>
            </w:r>
            <w:r>
              <w:rPr>
                <w:rFonts w:cs="Arial"/>
                <w:sz w:val="20"/>
                <w:szCs w:val="20"/>
              </w:rPr>
              <w:t xml:space="preserve"> Krkonoše – kary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116AB7" w:rsidRPr="001F0912" w:rsidRDefault="00116AB7" w:rsidP="00602F52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116AB7" w:rsidRPr="001F0912" w:rsidRDefault="00116AB7" w:rsidP="00602F52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16AB7" w:rsidRPr="001F0912" w:rsidRDefault="00116AB7" w:rsidP="00602F52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Východní Krkonoše - kary</w:t>
            </w:r>
          </w:p>
        </w:tc>
        <w:tc>
          <w:tcPr>
            <w:tcW w:w="1701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181984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Západní Krkonoše – bryologicky </w:t>
            </w:r>
            <w:proofErr w:type="spellStart"/>
            <w:r>
              <w:rPr>
                <w:rFonts w:cs="Arial"/>
                <w:sz w:val="20"/>
                <w:szCs w:val="20"/>
              </w:rPr>
              <w:t>poten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Arial"/>
                <w:sz w:val="20"/>
                <w:szCs w:val="20"/>
              </w:rPr>
              <w:t>význ</w:t>
            </w:r>
            <w:proofErr w:type="spellEnd"/>
            <w:r>
              <w:rPr>
                <w:rFonts w:cs="Arial"/>
                <w:sz w:val="20"/>
                <w:szCs w:val="20"/>
              </w:rPr>
              <w:t>. údolí</w:t>
            </w:r>
          </w:p>
        </w:tc>
        <w:tc>
          <w:tcPr>
            <w:tcW w:w="1701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</w:tcPr>
          <w:p w:rsidR="00181984" w:rsidRPr="00602F52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 xml:space="preserve">Východní Krkonoše – bryologicky </w:t>
            </w:r>
            <w:proofErr w:type="spellStart"/>
            <w:r w:rsidRPr="00602F52">
              <w:rPr>
                <w:rFonts w:cs="Arial"/>
                <w:sz w:val="20"/>
                <w:szCs w:val="20"/>
              </w:rPr>
              <w:t>poten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  <w:r w:rsidRPr="00602F5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02F52">
              <w:rPr>
                <w:rFonts w:cs="Arial"/>
                <w:sz w:val="20"/>
                <w:szCs w:val="20"/>
              </w:rPr>
              <w:t>význ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  <w:r w:rsidRPr="00602F52">
              <w:rPr>
                <w:rFonts w:cs="Arial"/>
                <w:sz w:val="20"/>
                <w:szCs w:val="20"/>
              </w:rPr>
              <w:t xml:space="preserve"> údolí</w:t>
            </w:r>
          </w:p>
        </w:tc>
        <w:tc>
          <w:tcPr>
            <w:tcW w:w="1701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602F5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  <w:noWrap/>
          </w:tcPr>
          <w:p w:rsidR="00181984" w:rsidRPr="00602F52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Západní Krkonoše – vlhké a rašelinné louky</w:t>
            </w:r>
          </w:p>
        </w:tc>
        <w:tc>
          <w:tcPr>
            <w:tcW w:w="1701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602F52" w:rsidTr="00BB4DBC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  <w:bottom w:val="single" w:sz="4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Východní Krkonoše – vlhké a rašelinné louky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BB4DBC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  <w:bottom w:val="single" w:sz="4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81984" w:rsidRPr="00116AB7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Západní Krkonoše - rašeliniště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BB4DBC">
        <w:trPr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:rsidR="00181984" w:rsidRPr="00116AB7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Východní Krkonoše - rašeliniště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4820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Západní Krkonoše – geomorfologické lokality</w:t>
            </w:r>
          </w:p>
        </w:tc>
        <w:tc>
          <w:tcPr>
            <w:tcW w:w="1701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Východní Krkonoše – geomorfologické lokality</w:t>
            </w:r>
          </w:p>
        </w:tc>
        <w:tc>
          <w:tcPr>
            <w:tcW w:w="1701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4820" w:type="dxa"/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Západní Krkonoše</w:t>
            </w:r>
            <w:r>
              <w:rPr>
                <w:rFonts w:cs="Arial"/>
                <w:sz w:val="20"/>
                <w:szCs w:val="20"/>
              </w:rPr>
              <w:t xml:space="preserve"> – cílený průzkum epifytů</w:t>
            </w:r>
          </w:p>
        </w:tc>
        <w:tc>
          <w:tcPr>
            <w:tcW w:w="1701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81984" w:rsidRPr="001F0912" w:rsidTr="00602F52">
        <w:trPr>
          <w:trHeight w:val="253"/>
          <w:jc w:val="center"/>
        </w:trPr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noWrap/>
          </w:tcPr>
          <w:p w:rsidR="00181984" w:rsidRPr="00116AB7" w:rsidRDefault="00181984" w:rsidP="00181984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116AB7">
              <w:rPr>
                <w:rFonts w:cs="Arial"/>
                <w:sz w:val="20"/>
                <w:szCs w:val="20"/>
              </w:rPr>
              <w:t>12.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shd w:val="clear" w:color="auto" w:fill="auto"/>
          </w:tcPr>
          <w:p w:rsidR="00181984" w:rsidRPr="00602F52" w:rsidRDefault="00181984" w:rsidP="0018198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602F52">
              <w:rPr>
                <w:rFonts w:cs="Arial"/>
                <w:sz w:val="20"/>
                <w:szCs w:val="20"/>
              </w:rPr>
              <w:t>Východní Krkonoše – cílený průzkum epifytů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81984" w:rsidRPr="001F0912" w:rsidRDefault="00181984" w:rsidP="00181984">
            <w:pPr>
              <w:spacing w:line="48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587249" w:rsidRPr="00265AB9" w:rsidRDefault="00116AB7" w:rsidP="00116AB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Účastník proškrtne části, na které </w:t>
      </w:r>
      <w:proofErr w:type="gramStart"/>
      <w:r>
        <w:rPr>
          <w:rFonts w:cs="Arial"/>
          <w:sz w:val="20"/>
          <w:szCs w:val="20"/>
        </w:rPr>
        <w:t>nepodává  nabídku</w:t>
      </w:r>
      <w:proofErr w:type="gramEnd"/>
      <w:r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BB4DBC" w:rsidRDefault="00BB4DBC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602F52" w:rsidP="00116AB7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="00587249" w:rsidRPr="00F068D4">
        <w:rPr>
          <w:rFonts w:cs="Arial"/>
          <w:color w:val="000000"/>
          <w:sz w:val="20"/>
          <w:szCs w:val="20"/>
        </w:rPr>
        <w:t>ozice</w:t>
      </w:r>
      <w:r>
        <w:rPr>
          <w:rFonts w:cs="Arial"/>
          <w:color w:val="000000"/>
          <w:sz w:val="20"/>
          <w:szCs w:val="20"/>
        </w:rPr>
        <w:t xml:space="preserve">, </w:t>
      </w:r>
      <w:r w:rsidR="00587249" w:rsidRPr="00F068D4">
        <w:rPr>
          <w:rFonts w:cs="Arial"/>
          <w:color w:val="000000"/>
          <w:sz w:val="20"/>
          <w:szCs w:val="20"/>
        </w:rPr>
        <w:t>název zhotovitele</w:t>
      </w:r>
      <w:r>
        <w:rPr>
          <w:rFonts w:cs="Arial"/>
          <w:color w:val="000000"/>
          <w:sz w:val="20"/>
          <w:szCs w:val="20"/>
        </w:rPr>
        <w:t xml:space="preserve">, </w:t>
      </w:r>
      <w:r w:rsidR="00587249" w:rsidRPr="00F068D4">
        <w:rPr>
          <w:rFonts w:cs="Arial"/>
          <w:color w:val="000000"/>
          <w:sz w:val="20"/>
          <w:szCs w:val="20"/>
        </w:rPr>
        <w:t>razítko</w:t>
      </w:r>
    </w:p>
    <w:p w:rsidR="00DF473F" w:rsidRDefault="00587249" w:rsidP="00116AB7">
      <w:pPr>
        <w:jc w:val="right"/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>) Po</w:t>
      </w:r>
      <w:bookmarkStart w:id="0" w:name="_GoBack"/>
      <w:bookmarkEnd w:id="0"/>
      <w:r w:rsidRPr="00F068D4">
        <w:rPr>
          <w:sz w:val="20"/>
          <w:szCs w:val="20"/>
        </w:rPr>
        <w:t xml:space="preserve">vinně doplněné údaje </w:t>
      </w:r>
      <w:r w:rsidR="00E55F0B">
        <w:rPr>
          <w:sz w:val="20"/>
          <w:szCs w:val="20"/>
        </w:rPr>
        <w:t>účastníkem</w:t>
      </w:r>
    </w:p>
    <w:sectPr w:rsidR="00DF473F" w:rsidSect="00116AB7">
      <w:footerReference w:type="even" r:id="rId9"/>
      <w:footerReference w:type="default" r:id="rId10"/>
      <w:pgSz w:w="11906" w:h="16838" w:code="9"/>
      <w:pgMar w:top="1418" w:right="851" w:bottom="141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EF" w:rsidRDefault="00834EEF">
      <w:r>
        <w:separator/>
      </w:r>
    </w:p>
  </w:endnote>
  <w:endnote w:type="continuationSeparator" w:id="0">
    <w:p w:rsidR="00834EEF" w:rsidRDefault="0083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EF" w:rsidRDefault="00834EEF">
      <w:r>
        <w:separator/>
      </w:r>
    </w:p>
  </w:footnote>
  <w:footnote w:type="continuationSeparator" w:id="0">
    <w:p w:rsidR="00834EEF" w:rsidRDefault="00834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52702D"/>
    <w:multiLevelType w:val="hybridMultilevel"/>
    <w:tmpl w:val="7D40629C"/>
    <w:lvl w:ilvl="0" w:tplc="E5547B5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4" w:hanging="360"/>
      </w:pPr>
    </w:lvl>
    <w:lvl w:ilvl="2" w:tplc="0405001B" w:tentative="1">
      <w:start w:val="1"/>
      <w:numFmt w:val="lowerRoman"/>
      <w:lvlText w:val="%3."/>
      <w:lvlJc w:val="right"/>
      <w:pPr>
        <w:ind w:left="2244" w:hanging="180"/>
      </w:pPr>
    </w:lvl>
    <w:lvl w:ilvl="3" w:tplc="0405000F" w:tentative="1">
      <w:start w:val="1"/>
      <w:numFmt w:val="decimal"/>
      <w:lvlText w:val="%4."/>
      <w:lvlJc w:val="left"/>
      <w:pPr>
        <w:ind w:left="2964" w:hanging="360"/>
      </w:pPr>
    </w:lvl>
    <w:lvl w:ilvl="4" w:tplc="04050019" w:tentative="1">
      <w:start w:val="1"/>
      <w:numFmt w:val="lowerLetter"/>
      <w:lvlText w:val="%5."/>
      <w:lvlJc w:val="left"/>
      <w:pPr>
        <w:ind w:left="3684" w:hanging="360"/>
      </w:pPr>
    </w:lvl>
    <w:lvl w:ilvl="5" w:tplc="0405001B" w:tentative="1">
      <w:start w:val="1"/>
      <w:numFmt w:val="lowerRoman"/>
      <w:lvlText w:val="%6."/>
      <w:lvlJc w:val="right"/>
      <w:pPr>
        <w:ind w:left="4404" w:hanging="180"/>
      </w:pPr>
    </w:lvl>
    <w:lvl w:ilvl="6" w:tplc="0405000F" w:tentative="1">
      <w:start w:val="1"/>
      <w:numFmt w:val="decimal"/>
      <w:lvlText w:val="%7."/>
      <w:lvlJc w:val="left"/>
      <w:pPr>
        <w:ind w:left="5124" w:hanging="360"/>
      </w:pPr>
    </w:lvl>
    <w:lvl w:ilvl="7" w:tplc="04050019" w:tentative="1">
      <w:start w:val="1"/>
      <w:numFmt w:val="lowerLetter"/>
      <w:lvlText w:val="%8."/>
      <w:lvlJc w:val="left"/>
      <w:pPr>
        <w:ind w:left="5844" w:hanging="360"/>
      </w:pPr>
    </w:lvl>
    <w:lvl w:ilvl="8" w:tplc="040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5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16AB7"/>
    <w:rsid w:val="0012410D"/>
    <w:rsid w:val="00127C33"/>
    <w:rsid w:val="00135E45"/>
    <w:rsid w:val="00145DE8"/>
    <w:rsid w:val="001465AA"/>
    <w:rsid w:val="00181984"/>
    <w:rsid w:val="001945E5"/>
    <w:rsid w:val="0019524B"/>
    <w:rsid w:val="001A2115"/>
    <w:rsid w:val="001B2619"/>
    <w:rsid w:val="001B3205"/>
    <w:rsid w:val="001C513B"/>
    <w:rsid w:val="001E6EEA"/>
    <w:rsid w:val="001F0912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2F22C2"/>
    <w:rsid w:val="002F25DF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55EA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45D6B"/>
    <w:rsid w:val="00452649"/>
    <w:rsid w:val="00455229"/>
    <w:rsid w:val="00463E5D"/>
    <w:rsid w:val="00471777"/>
    <w:rsid w:val="00473250"/>
    <w:rsid w:val="00473B4B"/>
    <w:rsid w:val="00474D68"/>
    <w:rsid w:val="00486A6F"/>
    <w:rsid w:val="004A336C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62B9B"/>
    <w:rsid w:val="0057471C"/>
    <w:rsid w:val="005805C6"/>
    <w:rsid w:val="00587249"/>
    <w:rsid w:val="00587A26"/>
    <w:rsid w:val="005A05BA"/>
    <w:rsid w:val="005A12FD"/>
    <w:rsid w:val="005B0C5A"/>
    <w:rsid w:val="005B16D0"/>
    <w:rsid w:val="005B2717"/>
    <w:rsid w:val="005B4E50"/>
    <w:rsid w:val="005B7D8D"/>
    <w:rsid w:val="005C5C69"/>
    <w:rsid w:val="005E1BF7"/>
    <w:rsid w:val="005E574A"/>
    <w:rsid w:val="005F7192"/>
    <w:rsid w:val="00602F52"/>
    <w:rsid w:val="006256B5"/>
    <w:rsid w:val="00626323"/>
    <w:rsid w:val="006374A3"/>
    <w:rsid w:val="006466D4"/>
    <w:rsid w:val="0065072B"/>
    <w:rsid w:val="00660861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34EEF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2B2B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2D60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5567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44548"/>
    <w:rsid w:val="00B63A66"/>
    <w:rsid w:val="00B676DD"/>
    <w:rsid w:val="00B734EA"/>
    <w:rsid w:val="00B75474"/>
    <w:rsid w:val="00B919FC"/>
    <w:rsid w:val="00BA1781"/>
    <w:rsid w:val="00BA2509"/>
    <w:rsid w:val="00BB4DBC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107F"/>
    <w:rsid w:val="00C91742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7279"/>
    <w:rsid w:val="00DE7F83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640FA"/>
    <w:rsid w:val="00E707FA"/>
    <w:rsid w:val="00E7301D"/>
    <w:rsid w:val="00E7410B"/>
    <w:rsid w:val="00E81FD5"/>
    <w:rsid w:val="00E84F93"/>
    <w:rsid w:val="00E85344"/>
    <w:rsid w:val="00E8592C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0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kkynclova</cp:lastModifiedBy>
  <cp:revision>8</cp:revision>
  <cp:lastPrinted>2017-10-03T07:17:00Z</cp:lastPrinted>
  <dcterms:created xsi:type="dcterms:W3CDTF">2017-10-03T05:39:00Z</dcterms:created>
  <dcterms:modified xsi:type="dcterms:W3CDTF">2017-10-11T08:12:00Z</dcterms:modified>
</cp:coreProperties>
</file>